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30"/>
          <w:szCs w:val="30"/>
        </w:rPr>
      </w:pPr>
      <w:r w:rsidDel="00000000" w:rsidR="00000000" w:rsidRPr="00000000">
        <w:rPr>
          <w:sz w:val="30"/>
          <w:szCs w:val="30"/>
          <w:rtl w:val="0"/>
        </w:rPr>
        <w:t xml:space="preserve">The Inflation Protection Act of 2025</w:t>
      </w:r>
    </w:p>
    <w:p w:rsidR="00000000" w:rsidDel="00000000" w:rsidP="00000000" w:rsidRDefault="00000000" w:rsidRPr="00000000" w14:paraId="00000002">
      <w:pPr>
        <w:spacing w:after="240" w:before="240" w:lineRule="auto"/>
        <w:rPr/>
      </w:pPr>
      <w:r w:rsidDel="00000000" w:rsidR="00000000" w:rsidRPr="00000000">
        <w:rPr>
          <w:rtl w:val="0"/>
        </w:rPr>
        <w:t xml:space="preserve">Section 1. Definitions</w:t>
      </w:r>
    </w:p>
    <w:p w:rsidR="00000000" w:rsidDel="00000000" w:rsidP="00000000" w:rsidRDefault="00000000" w:rsidRPr="00000000" w14:paraId="00000003">
      <w:pPr>
        <w:spacing w:after="240" w:before="240" w:lineRule="auto"/>
        <w:rPr/>
      </w:pPr>
      <w:r w:rsidDel="00000000" w:rsidR="00000000" w:rsidRPr="00000000">
        <w:rPr>
          <w:rtl w:val="0"/>
        </w:rPr>
        <w:t xml:space="preserve">As used in this chapter:</w:t>
      </w:r>
    </w:p>
    <w:p w:rsidR="00000000" w:rsidDel="00000000" w:rsidP="00000000" w:rsidRDefault="00000000" w:rsidRPr="00000000" w14:paraId="00000004">
      <w:pPr>
        <w:numPr>
          <w:ilvl w:val="0"/>
          <w:numId w:val="5"/>
        </w:numPr>
        <w:spacing w:after="0" w:afterAutospacing="0" w:before="240" w:lineRule="auto"/>
        <w:ind w:left="720" w:hanging="360"/>
      </w:pPr>
      <w:r w:rsidDel="00000000" w:rsidR="00000000" w:rsidRPr="00000000">
        <w:rPr>
          <w:rtl w:val="0"/>
        </w:rPr>
        <w:t xml:space="preserve">"Bitcoin" means the decentralized digital currency launched in 2009, based on the system described in the whitepaper authored by Satoshi Nakamoto in 2008, titled "Bitcoin: A Peer-to-Peer Electronic Cash System," operating on the longest proof-of-work blockchain with the greatest cumulative computational power securing the network, and includes the digital asset that underlies a Bitcoin exchange-traded product regulated by the Securities and Exchange Commission.</w:t>
      </w:r>
    </w:p>
    <w:p w:rsidR="00000000" w:rsidDel="00000000" w:rsidP="00000000" w:rsidRDefault="00000000" w:rsidRPr="00000000" w14:paraId="00000005">
      <w:pPr>
        <w:numPr>
          <w:ilvl w:val="0"/>
          <w:numId w:val="5"/>
        </w:numPr>
        <w:spacing w:after="0" w:afterAutospacing="0" w:before="0" w:beforeAutospacing="0" w:lineRule="auto"/>
        <w:ind w:left="720" w:hanging="360"/>
      </w:pPr>
      <w:r w:rsidDel="00000000" w:rsidR="00000000" w:rsidRPr="00000000">
        <w:rPr>
          <w:rtl w:val="0"/>
        </w:rPr>
        <w:t xml:space="preserve">"Exchange-Traded Product" or "ETP" means a financial instrument approved by the Securities and Exchange Commission, the Commodity Futures Trading Commission, or the state securities regulator, that is traded on a regulated exchange and derives its value from an underlying pool of assets.</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rtl w:val="0"/>
        </w:rPr>
        <w:t xml:space="preserve">"Private key" means cryptographic data, or a component thereof, used to authorize transactions on a distributed ledger, whether held, generated, or managed individually or through a multi-party, threshold-based, or similar system.</w:t>
      </w:r>
    </w:p>
    <w:p w:rsidR="00000000" w:rsidDel="00000000" w:rsidP="00000000" w:rsidRDefault="00000000" w:rsidRPr="00000000" w14:paraId="00000007">
      <w:pPr>
        <w:numPr>
          <w:ilvl w:val="0"/>
          <w:numId w:val="5"/>
        </w:numPr>
        <w:spacing w:after="240" w:before="0" w:beforeAutospacing="0" w:lineRule="auto"/>
        <w:ind w:left="720" w:hanging="360"/>
      </w:pPr>
      <w:r w:rsidDel="00000000" w:rsidR="00000000" w:rsidRPr="00000000">
        <w:rPr>
          <w:rtl w:val="0"/>
        </w:rPr>
        <w:t xml:space="preserve">"Secure custody solution" means a technological system, or combination of technologies and services, that satisfies all of the following:</w:t>
      </w:r>
    </w:p>
    <w:p w:rsidR="00000000" w:rsidDel="00000000" w:rsidP="00000000" w:rsidRDefault="00000000" w:rsidRPr="00000000" w14:paraId="00000008">
      <w:pPr>
        <w:spacing w:after="240" w:before="240" w:lineRule="auto"/>
        <w:rPr/>
      </w:pPr>
      <w:r w:rsidDel="00000000" w:rsidR="00000000" w:rsidRPr="00000000">
        <w:rPr>
          <w:rtl w:val="0"/>
        </w:rPr>
        <w:t xml:space="preserve">a. Ensures cryptographic private keys or transaction-signing authority are known to and accessible by the government entity or a qualified custodian acting on behalf of the government entity;</w:t>
      </w:r>
    </w:p>
    <w:p w:rsidR="00000000" w:rsidDel="00000000" w:rsidP="00000000" w:rsidRDefault="00000000" w:rsidRPr="00000000" w14:paraId="00000009">
      <w:pPr>
        <w:spacing w:after="240" w:before="240" w:lineRule="auto"/>
        <w:rPr/>
      </w:pPr>
      <w:r w:rsidDel="00000000" w:rsidR="00000000" w:rsidRPr="00000000">
        <w:rPr>
          <w:rtl w:val="0"/>
        </w:rPr>
        <w:t xml:space="preserve">b. Prevents unilateral transaction authorization by any single individual or device;</w:t>
      </w:r>
    </w:p>
    <w:p w:rsidR="00000000" w:rsidDel="00000000" w:rsidP="00000000" w:rsidRDefault="00000000" w:rsidRPr="00000000" w14:paraId="0000000A">
      <w:pPr>
        <w:spacing w:after="240" w:before="240" w:lineRule="auto"/>
        <w:rPr/>
      </w:pPr>
      <w:r w:rsidDel="00000000" w:rsidR="00000000" w:rsidRPr="00000000">
        <w:rPr>
          <w:rtl w:val="0"/>
        </w:rPr>
        <w:t xml:space="preserve">c. Employs multi-party governance controls, role-based access permissions, and comprehensive audit logging of all user-initiated actions;</w:t>
      </w:r>
    </w:p>
    <w:p w:rsidR="00000000" w:rsidDel="00000000" w:rsidP="00000000" w:rsidRDefault="00000000" w:rsidRPr="00000000" w14:paraId="0000000B">
      <w:pPr>
        <w:spacing w:after="240" w:before="240" w:lineRule="auto"/>
        <w:rPr/>
      </w:pPr>
      <w:r w:rsidDel="00000000" w:rsidR="00000000" w:rsidRPr="00000000">
        <w:rPr>
          <w:rtl w:val="0"/>
        </w:rPr>
        <w:t xml:space="preserve">d. Provides redundancy, geographic diversification, and disaster recovery protocols sufficient to ensure continued access to digital assets;</w:t>
      </w:r>
    </w:p>
    <w:p w:rsidR="00000000" w:rsidDel="00000000" w:rsidP="00000000" w:rsidRDefault="00000000" w:rsidRPr="00000000" w14:paraId="0000000C">
      <w:pPr>
        <w:spacing w:after="240" w:before="240" w:lineRule="auto"/>
        <w:rPr/>
      </w:pPr>
      <w:r w:rsidDel="00000000" w:rsidR="00000000" w:rsidRPr="00000000">
        <w:rPr>
          <w:rtl w:val="0"/>
        </w:rPr>
        <w:t xml:space="preserve">e. Prohibits reliance on a single consumer-grade device, including a smartphone, as the sole mechanism for transaction authorization;</w:t>
      </w:r>
    </w:p>
    <w:p w:rsidR="00000000" w:rsidDel="00000000" w:rsidP="00000000" w:rsidRDefault="00000000" w:rsidRPr="00000000" w14:paraId="0000000D">
      <w:pPr>
        <w:spacing w:after="240" w:before="240" w:lineRule="auto"/>
        <w:rPr/>
      </w:pPr>
      <w:r w:rsidDel="00000000" w:rsidR="00000000" w:rsidRPr="00000000">
        <w:rPr>
          <w:rtl w:val="0"/>
        </w:rPr>
        <w:t xml:space="preserve">f. Undergoes periodic security audits and penetration testing by independent third parties, with identified vulnerabilities remediated in a timely manner.</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"Stablecoin" means a digital asset issued by an entity, backed by United States dollars or high-quality liquid assets, and redeemable by the holder on demand at par value in United States dollars.</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"Qualified custodian" means a federal or state-chartered bank, trust company, special purpose depository institution, or other entity authorized under state or federal law to custody digital assets on behalf of third parties.</w:t>
      </w:r>
    </w:p>
    <w:p w:rsidR="00000000" w:rsidDel="00000000" w:rsidP="00000000" w:rsidRDefault="00000000" w:rsidRPr="00000000" w14:paraId="00000010">
      <w:pPr>
        <w:spacing w:after="240" w:before="240" w:lineRule="auto"/>
        <w:rPr/>
      </w:pPr>
      <w:r w:rsidDel="00000000" w:rsidR="00000000" w:rsidRPr="00000000">
        <w:rPr>
          <w:rtl w:val="0"/>
        </w:rPr>
        <w:t xml:space="preserve">Section 2. Authorization of Investments</w:t>
      </w:r>
    </w:p>
    <w:p w:rsidR="00000000" w:rsidDel="00000000" w:rsidP="00000000" w:rsidRDefault="00000000" w:rsidRPr="00000000" w14:paraId="00000011">
      <w:pPr>
        <w:numPr>
          <w:ilvl w:val="0"/>
          <w:numId w:val="4"/>
        </w:numPr>
        <w:spacing w:after="240" w:before="240" w:lineRule="auto"/>
        <w:ind w:left="720" w:hanging="360"/>
      </w:pPr>
      <w:r w:rsidDel="00000000" w:rsidR="00000000" w:rsidRPr="00000000">
        <w:rPr>
          <w:rtl w:val="0"/>
        </w:rPr>
        <w:t xml:space="preserve">The State Treasurer may invest a portion of public funds in Bitcoin and stablecoins from any of the following:</w:t>
      </w:r>
    </w:p>
    <w:p w:rsidR="00000000" w:rsidDel="00000000" w:rsidP="00000000" w:rsidRDefault="00000000" w:rsidRPr="00000000" w14:paraId="00000012">
      <w:pPr>
        <w:spacing w:after="240" w:before="240" w:lineRule="auto"/>
        <w:rPr/>
      </w:pPr>
      <w:r w:rsidDel="00000000" w:rsidR="00000000" w:rsidRPr="00000000">
        <w:rPr>
          <w:rtl w:val="0"/>
        </w:rPr>
        <w:t xml:space="preserve">a. The State General Fund;</w:t>
      </w:r>
    </w:p>
    <w:p w:rsidR="00000000" w:rsidDel="00000000" w:rsidP="00000000" w:rsidRDefault="00000000" w:rsidRPr="00000000" w14:paraId="00000013">
      <w:pPr>
        <w:spacing w:after="240" w:before="240" w:lineRule="auto"/>
        <w:rPr/>
      </w:pPr>
      <w:r w:rsidDel="00000000" w:rsidR="00000000" w:rsidRPr="00000000">
        <w:rPr>
          <w:rtl w:val="0"/>
        </w:rPr>
        <w:t xml:space="preserve">b. The Budget Stabilization Fund or Rainy Day Fund;</w:t>
      </w:r>
    </w:p>
    <w:p w:rsidR="00000000" w:rsidDel="00000000" w:rsidP="00000000" w:rsidRDefault="00000000" w:rsidRPr="00000000" w14:paraId="00000014">
      <w:pPr>
        <w:spacing w:after="240" w:before="240" w:lineRule="auto"/>
        <w:rPr/>
      </w:pPr>
      <w:r w:rsidDel="00000000" w:rsidR="00000000" w:rsidRPr="00000000">
        <w:rPr>
          <w:rtl w:val="0"/>
        </w:rPr>
        <w:t xml:space="preserve">c. Any other fund expressly authorized by the Legislature.</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At the time an investment is made, the total amount invested under this section may not exceed ten percent of the total balance of the applicable fund.</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Digital assets acquired under this section shall be held in one or more of the following forms:</w:t>
      </w:r>
    </w:p>
    <w:p w:rsidR="00000000" w:rsidDel="00000000" w:rsidP="00000000" w:rsidRDefault="00000000" w:rsidRPr="00000000" w14:paraId="00000017">
      <w:pPr>
        <w:spacing w:after="240" w:before="240" w:lineRule="auto"/>
        <w:rPr/>
      </w:pPr>
      <w:r w:rsidDel="00000000" w:rsidR="00000000" w:rsidRPr="00000000">
        <w:rPr>
          <w:rtl w:val="0"/>
        </w:rPr>
        <w:t xml:space="preserve">a. Directly by the State Treasurer through the use of a secure custody solution;</w:t>
      </w:r>
    </w:p>
    <w:p w:rsidR="00000000" w:rsidDel="00000000" w:rsidP="00000000" w:rsidRDefault="00000000" w:rsidRPr="00000000" w14:paraId="00000018">
      <w:pPr>
        <w:spacing w:after="240" w:before="240" w:lineRule="auto"/>
        <w:rPr/>
      </w:pPr>
      <w:r w:rsidDel="00000000" w:rsidR="00000000" w:rsidRPr="00000000">
        <w:rPr>
          <w:rtl w:val="0"/>
        </w:rPr>
        <w:t xml:space="preserve">b. On behalf of the state by a qualified custodian;</w:t>
      </w:r>
    </w:p>
    <w:p w:rsidR="00000000" w:rsidDel="00000000" w:rsidP="00000000" w:rsidRDefault="00000000" w:rsidRPr="00000000" w14:paraId="00000019">
      <w:pPr>
        <w:spacing w:after="240" w:before="240" w:lineRule="auto"/>
        <w:rPr/>
      </w:pPr>
      <w:r w:rsidDel="00000000" w:rsidR="00000000" w:rsidRPr="00000000">
        <w:rPr>
          <w:rtl w:val="0"/>
        </w:rPr>
        <w:t xml:space="preserve">c. Through an exchange-traded product issued by a registered investment company.</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rtl w:val="0"/>
        </w:rPr>
        <w:t xml:space="preserve">The State Treasurer may only hold stablecoins that are issued in compliance with applicable federal or state law.</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If a digital asset may be loaned, staked, or otherwise deployed without increasing the financial risk to the state, the State Treasurer may authorize such use pursuant to rules adopted by the Treasurer.</w:t>
      </w:r>
    </w:p>
    <w:p w:rsidR="00000000" w:rsidDel="00000000" w:rsidP="00000000" w:rsidRDefault="00000000" w:rsidRPr="00000000" w14:paraId="0000001C">
      <w:pPr>
        <w:spacing w:after="240" w:before="240" w:lineRule="auto"/>
        <w:rPr/>
      </w:pPr>
      <w:r w:rsidDel="00000000" w:rsidR="00000000" w:rsidRPr="00000000">
        <w:rPr>
          <w:rtl w:val="0"/>
        </w:rPr>
        <w:t xml:space="preserve">Section 3. Payment of Taxes and Fees</w:t>
      </w:r>
    </w:p>
    <w:p w:rsidR="00000000" w:rsidDel="00000000" w:rsidP="00000000" w:rsidRDefault="00000000" w:rsidRPr="00000000" w14:paraId="0000001D">
      <w:pPr>
        <w:spacing w:after="240" w:before="240" w:lineRule="auto"/>
        <w:rPr/>
      </w:pPr>
      <w:r w:rsidDel="00000000" w:rsidR="00000000" w:rsidRPr="00000000">
        <w:rPr>
          <w:rtl w:val="0"/>
        </w:rPr>
        <w:t xml:space="preserve">Any taxes, fees, or other payments remitted to the state in Bitcoin shall be converted to United States currency and deposited into the State General Fund. The State General Fund shall reimburse the receiving fund in United States currency in an equivalent amount.</w:t>
      </w:r>
    </w:p>
    <w:p w:rsidR="00000000" w:rsidDel="00000000" w:rsidP="00000000" w:rsidRDefault="00000000" w:rsidRPr="00000000" w14:paraId="0000001E">
      <w:pPr>
        <w:spacing w:after="240" w:before="240" w:lineRule="auto"/>
        <w:rPr/>
      </w:pPr>
      <w:r w:rsidDel="00000000" w:rsidR="00000000" w:rsidRPr="00000000">
        <w:rPr>
          <w:rtl w:val="0"/>
        </w:rPr>
        <w:t xml:space="preserve">Section 4. Retirement System Investments</w:t>
      </w:r>
    </w:p>
    <w:p w:rsidR="00000000" w:rsidDel="00000000" w:rsidP="00000000" w:rsidRDefault="00000000" w:rsidRPr="00000000" w14:paraId="0000001F">
      <w:pPr>
        <w:spacing w:after="240" w:before="240" w:lineRule="auto"/>
        <w:rPr/>
      </w:pPr>
      <w:r w:rsidDel="00000000" w:rsidR="00000000" w:rsidRPr="00000000">
        <w:rPr>
          <w:rtl w:val="0"/>
        </w:rPr>
        <w:t xml:space="preserve">Any state retirement system may invest in exchange-traded products that are duly registered or approved by the Securities and Exchange Commission, the Commodity Futures Trading Commission, or the state securities regulator.</w:t>
      </w:r>
    </w:p>
    <w:p w:rsidR="00000000" w:rsidDel="00000000" w:rsidP="00000000" w:rsidRDefault="00000000" w:rsidRPr="00000000" w14:paraId="00000020">
      <w:pPr>
        <w:spacing w:after="240" w:before="240" w:lineRule="auto"/>
        <w:rPr/>
      </w:pPr>
      <w:r w:rsidDel="00000000" w:rsidR="00000000" w:rsidRPr="00000000">
        <w:rPr>
          <w:rtl w:val="0"/>
        </w:rPr>
        <w:t xml:space="preserve">Section 5. Rulemaking Authority</w:t>
      </w:r>
    </w:p>
    <w:p w:rsidR="00000000" w:rsidDel="00000000" w:rsidP="00000000" w:rsidRDefault="00000000" w:rsidRPr="00000000" w14:paraId="00000021">
      <w:pPr>
        <w:spacing w:after="240" w:before="240" w:lineRule="auto"/>
        <w:rPr/>
      </w:pPr>
      <w:r w:rsidDel="00000000" w:rsidR="00000000" w:rsidRPr="00000000">
        <w:rPr>
          <w:rtl w:val="0"/>
        </w:rPr>
        <w:t xml:space="preserve">The State Treasurer may promulgate rules necessary to implement and administer this chapter.</w:t>
      </w:r>
    </w:p>
    <w:p w:rsidR="00000000" w:rsidDel="00000000" w:rsidP="00000000" w:rsidRDefault="00000000" w:rsidRPr="00000000" w14:paraId="00000022">
      <w:pPr>
        <w:spacing w:after="240" w:before="240" w:lineRule="auto"/>
        <w:rPr/>
      </w:pPr>
      <w:r w:rsidDel="00000000" w:rsidR="00000000" w:rsidRPr="00000000">
        <w:rPr>
          <w:rtl w:val="0"/>
        </w:rPr>
        <w:t xml:space="preserve">Section 6. Construction</w:t>
      </w:r>
    </w:p>
    <w:p w:rsidR="00000000" w:rsidDel="00000000" w:rsidP="00000000" w:rsidRDefault="00000000" w:rsidRPr="00000000" w14:paraId="00000023">
      <w:pPr>
        <w:spacing w:after="240" w:before="240" w:lineRule="auto"/>
        <w:rPr/>
      </w:pPr>
      <w:r w:rsidDel="00000000" w:rsidR="00000000" w:rsidRPr="00000000">
        <w:rPr>
          <w:rtl w:val="0"/>
        </w:rPr>
        <w:t xml:space="preserve">Nothing in this chapter shall be construed to require or prohibit the use of any specific custody technology, cryptographic architecture, or vendor, provided the requirements of this chapter are satisfied.</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